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3232AC9" w:rsidP="590B86EB" w:rsidRDefault="63232AC9" w14:paraId="054A4F5B" w14:textId="2A51D422">
      <w:pPr>
        <w:pStyle w:val="Normal"/>
        <w:spacing w:before="0" w:beforeAutospacing="off" w:after="160" w:afterAutospacing="off" w:line="276" w:lineRule="auto"/>
        <w:jc w:val="center"/>
        <w:rPr>
          <w:rFonts w:ascii="Aptos" w:hAnsi="Aptos" w:eastAsia="Aptos" w:cs="Aptos"/>
          <w:b w:val="1"/>
          <w:bCs w:val="1"/>
          <w:noProof w:val="0"/>
          <w:color w:val="000000" w:themeColor="text1" w:themeTint="FF" w:themeShade="FF"/>
          <w:sz w:val="22"/>
          <w:szCs w:val="22"/>
          <w:lang w:val="en-US"/>
        </w:rPr>
      </w:pPr>
      <w:r w:rsidRPr="590B86EB" w:rsidR="63232AC9">
        <w:rPr>
          <w:rFonts w:ascii="Aptos" w:hAnsi="Aptos" w:eastAsia="Aptos" w:cs="Aptos"/>
          <w:b w:val="1"/>
          <w:bCs w:val="1"/>
          <w:noProof w:val="0"/>
          <w:color w:val="000000" w:themeColor="text1" w:themeTint="FF" w:themeShade="FF"/>
          <w:sz w:val="22"/>
          <w:szCs w:val="22"/>
          <w:lang w:val="en-US"/>
        </w:rPr>
        <w:t>Danone Case</w:t>
      </w:r>
    </w:p>
    <w:p w:rsidR="63232AC9" w:rsidP="590B86EB" w:rsidRDefault="63232AC9" w14:paraId="2961FA86" w14:textId="3FAAAFC1">
      <w:pPr>
        <w:pStyle w:val="Normal"/>
        <w:spacing w:before="0" w:beforeAutospacing="off" w:after="160" w:afterAutospacing="off" w:line="276" w:lineRule="auto"/>
        <w:jc w:val="center"/>
        <w:rPr>
          <w:rFonts w:ascii="Aptos" w:hAnsi="Aptos" w:eastAsia="Aptos" w:cs="Aptos"/>
          <w:b w:val="1"/>
          <w:bCs w:val="1"/>
          <w:noProof w:val="0"/>
          <w:color w:val="000000" w:themeColor="text1" w:themeTint="FF" w:themeShade="FF"/>
          <w:sz w:val="22"/>
          <w:szCs w:val="22"/>
          <w:lang w:val="en-US"/>
        </w:rPr>
      </w:pPr>
      <w:r w:rsidRPr="590B86EB" w:rsidR="63232AC9">
        <w:rPr>
          <w:rFonts w:ascii="Aptos" w:hAnsi="Aptos" w:eastAsia="Aptos" w:cs="Aptos"/>
          <w:b w:val="0"/>
          <w:bCs w:val="0"/>
          <w:i w:val="0"/>
          <w:iCs w:val="0"/>
          <w:noProof w:val="0"/>
          <w:sz w:val="22"/>
          <w:szCs w:val="22"/>
          <w:lang w:val="en-US"/>
        </w:rPr>
        <w:t>Abid Khan, Joel Da Silva, Koen Willems, Molnar Bence, Renato Alves, and Rui Vicente</w:t>
      </w:r>
    </w:p>
    <w:p w:rsidR="67162DF2" w:rsidP="3838DD22" w:rsidRDefault="67162DF2" w14:paraId="38AADB94" w14:textId="341A0B2D" w14:noSpellErr="1">
      <w:pPr>
        <w:spacing w:before="0" w:beforeAutospacing="off" w:after="160" w:afterAutospacing="off" w:line="276" w:lineRule="auto"/>
        <w:jc w:val="both"/>
        <w:rPr>
          <w:b w:val="1"/>
          <w:bCs w:val="1"/>
          <w:sz w:val="22"/>
          <w:szCs w:val="22"/>
          <w:lang w:val="en-US"/>
        </w:rPr>
      </w:pPr>
      <w:r w:rsidRPr="590B86EB" w:rsidR="64EBCF12">
        <w:rPr>
          <w:rFonts w:ascii="Aptos" w:hAnsi="Aptos" w:eastAsia="Aptos" w:cs="Aptos"/>
          <w:b w:val="1"/>
          <w:bCs w:val="1"/>
          <w:noProof w:val="0"/>
          <w:color w:val="000000" w:themeColor="text1" w:themeTint="FF" w:themeShade="FF"/>
          <w:sz w:val="22"/>
          <w:szCs w:val="22"/>
          <w:lang w:val="en-US"/>
        </w:rPr>
        <w:t xml:space="preserve">1. Why do companies increasingly </w:t>
      </w:r>
      <w:r w:rsidRPr="590B86EB" w:rsidR="582A4071">
        <w:rPr>
          <w:rFonts w:ascii="Aptos" w:hAnsi="Aptos" w:eastAsia="Aptos" w:cs="Aptos"/>
          <w:b w:val="1"/>
          <w:bCs w:val="1"/>
          <w:noProof w:val="0"/>
          <w:color w:val="000000" w:themeColor="text1" w:themeTint="FF" w:themeShade="FF"/>
          <w:sz w:val="22"/>
          <w:szCs w:val="22"/>
          <w:lang w:val="en-US"/>
        </w:rPr>
        <w:t>report on</w:t>
      </w:r>
      <w:r w:rsidRPr="590B86EB" w:rsidR="64EBCF12">
        <w:rPr>
          <w:rFonts w:ascii="Aptos" w:hAnsi="Aptos" w:eastAsia="Aptos" w:cs="Aptos"/>
          <w:b w:val="1"/>
          <w:bCs w:val="1"/>
          <w:noProof w:val="0"/>
          <w:color w:val="000000" w:themeColor="text1" w:themeTint="FF" w:themeShade="FF"/>
          <w:sz w:val="22"/>
          <w:szCs w:val="22"/>
          <w:lang w:val="en-US"/>
        </w:rPr>
        <w:t xml:space="preserve"> </w:t>
      </w:r>
      <w:r w:rsidRPr="590B86EB" w:rsidR="64EBCF12">
        <w:rPr>
          <w:rFonts w:ascii="Aptos" w:hAnsi="Aptos" w:eastAsia="Aptos" w:cs="Aptos"/>
          <w:b w:val="1"/>
          <w:bCs w:val="1"/>
          <w:noProof w:val="0"/>
          <w:color w:val="000000" w:themeColor="text1" w:themeTint="FF" w:themeShade="FF"/>
          <w:sz w:val="22"/>
          <w:szCs w:val="22"/>
          <w:lang w:val="en-US"/>
        </w:rPr>
        <w:t xml:space="preserve">the non-financial </w:t>
      </w:r>
      <w:r w:rsidRPr="590B86EB" w:rsidR="1C4916A2">
        <w:rPr>
          <w:rFonts w:ascii="Aptos" w:hAnsi="Aptos" w:eastAsia="Aptos" w:cs="Aptos"/>
          <w:b w:val="1"/>
          <w:bCs w:val="1"/>
          <w:noProof w:val="0"/>
          <w:color w:val="000000" w:themeColor="text1" w:themeTint="FF" w:themeShade="FF"/>
          <w:sz w:val="22"/>
          <w:szCs w:val="22"/>
          <w:lang w:val="en-US"/>
        </w:rPr>
        <w:t>dimension</w:t>
      </w:r>
      <w:r w:rsidRPr="590B86EB" w:rsidR="64EBCF12">
        <w:rPr>
          <w:rFonts w:ascii="Aptos" w:hAnsi="Aptos" w:eastAsia="Aptos" w:cs="Aptos"/>
          <w:b w:val="1"/>
          <w:bCs w:val="1"/>
          <w:noProof w:val="0"/>
          <w:color w:val="000000" w:themeColor="text1" w:themeTint="FF" w:themeShade="FF"/>
          <w:sz w:val="22"/>
          <w:szCs w:val="22"/>
          <w:lang w:val="en-US"/>
        </w:rPr>
        <w:t>s of their businesses?</w:t>
      </w:r>
    </w:p>
    <w:p w:rsidR="67162DF2" w:rsidP="590B86EB" w:rsidRDefault="67162DF2" w14:paraId="045A0665" w14:textId="65ED9F0C"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In the last few decades, corporations </w:t>
      </w:r>
      <w:r w:rsidRPr="590B86EB" w:rsidR="64EBCF12">
        <w:rPr>
          <w:rFonts w:ascii="Calibri" w:hAnsi="Calibri" w:eastAsia="Calibri" w:cs="Calibri"/>
          <w:noProof w:val="0"/>
          <w:color w:val="000000" w:themeColor="text1" w:themeTint="FF" w:themeShade="FF"/>
          <w:sz w:val="22"/>
          <w:szCs w:val="22"/>
          <w:lang w:val="en-US"/>
        </w:rPr>
        <w:t>grasped</w:t>
      </w:r>
      <w:r w:rsidRPr="590B86EB" w:rsidR="64EBCF12">
        <w:rPr>
          <w:rFonts w:ascii="Calibri" w:hAnsi="Calibri" w:eastAsia="Calibri" w:cs="Calibri"/>
          <w:noProof w:val="0"/>
          <w:color w:val="000000" w:themeColor="text1" w:themeTint="FF" w:themeShade="FF"/>
          <w:sz w:val="22"/>
          <w:szCs w:val="22"/>
          <w:lang w:val="en-US"/>
        </w:rPr>
        <w:t xml:space="preserve"> that their monetary performance is just one aspect out of many that depict their full potential for long-term value creation. Non-financial disclosure, which refers to the </w:t>
      </w:r>
      <w:r w:rsidRPr="590B86EB" w:rsidR="5F9D99E5">
        <w:rPr>
          <w:rFonts w:ascii="Calibri" w:hAnsi="Calibri" w:eastAsia="Calibri" w:cs="Calibri"/>
          <w:noProof w:val="0"/>
          <w:color w:val="000000" w:themeColor="text1" w:themeTint="FF" w:themeShade="FF"/>
          <w:sz w:val="22"/>
          <w:szCs w:val="22"/>
          <w:lang w:val="en-US"/>
        </w:rPr>
        <w:t>E</w:t>
      </w:r>
      <w:r w:rsidRPr="590B86EB" w:rsidR="64EBCF12">
        <w:rPr>
          <w:rFonts w:ascii="Calibri" w:hAnsi="Calibri" w:eastAsia="Calibri" w:cs="Calibri"/>
          <w:noProof w:val="0"/>
          <w:color w:val="000000" w:themeColor="text1" w:themeTint="FF" w:themeShade="FF"/>
          <w:sz w:val="22"/>
          <w:szCs w:val="22"/>
          <w:lang w:val="en-US"/>
        </w:rPr>
        <w:t xml:space="preserve">nvironmental, </w:t>
      </w:r>
      <w:r w:rsidRPr="590B86EB" w:rsidR="3B85266B">
        <w:rPr>
          <w:rFonts w:ascii="Calibri" w:hAnsi="Calibri" w:eastAsia="Calibri" w:cs="Calibri"/>
          <w:noProof w:val="0"/>
          <w:color w:val="000000" w:themeColor="text1" w:themeTint="FF" w:themeShade="FF"/>
          <w:sz w:val="22"/>
          <w:szCs w:val="22"/>
          <w:lang w:val="en-US"/>
        </w:rPr>
        <w:t>S</w:t>
      </w:r>
      <w:r w:rsidRPr="590B86EB" w:rsidR="64EBCF12">
        <w:rPr>
          <w:rFonts w:ascii="Calibri" w:hAnsi="Calibri" w:eastAsia="Calibri" w:cs="Calibri"/>
          <w:noProof w:val="0"/>
          <w:color w:val="000000" w:themeColor="text1" w:themeTint="FF" w:themeShade="FF"/>
          <w:sz w:val="22"/>
          <w:szCs w:val="22"/>
          <w:lang w:val="en-US"/>
        </w:rPr>
        <w:t xml:space="preserve">ocial, and </w:t>
      </w:r>
      <w:r w:rsidRPr="590B86EB" w:rsidR="6BA41BD9">
        <w:rPr>
          <w:rFonts w:ascii="Calibri" w:hAnsi="Calibri" w:eastAsia="Calibri" w:cs="Calibri"/>
          <w:noProof w:val="0"/>
          <w:color w:val="000000" w:themeColor="text1" w:themeTint="FF" w:themeShade="FF"/>
          <w:sz w:val="22"/>
          <w:szCs w:val="22"/>
          <w:lang w:val="en-US"/>
        </w:rPr>
        <w:t>G</w:t>
      </w:r>
      <w:r w:rsidRPr="590B86EB" w:rsidR="64EBCF12">
        <w:rPr>
          <w:rFonts w:ascii="Calibri" w:hAnsi="Calibri" w:eastAsia="Calibri" w:cs="Calibri"/>
          <w:noProof w:val="0"/>
          <w:color w:val="000000" w:themeColor="text1" w:themeTint="FF" w:themeShade="FF"/>
          <w:sz w:val="22"/>
          <w:szCs w:val="22"/>
          <w:lang w:val="en-US"/>
        </w:rPr>
        <w:t>overnance aspects (ESG), has become a strategic imperative for the purpose of transparency, accountability, and sustainable development.</w:t>
      </w:r>
    </w:p>
    <w:p w:rsidR="67162DF2" w:rsidP="590B86EB" w:rsidRDefault="67162DF2" w14:paraId="1A3441FF" w14:textId="43D1504A"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For </w:t>
      </w:r>
      <w:r w:rsidRPr="590B86EB" w:rsidR="64EBCF12">
        <w:rPr>
          <w:rFonts w:ascii="Calibri" w:hAnsi="Calibri" w:eastAsia="Calibri" w:cs="Calibri"/>
          <w:b w:val="1"/>
          <w:bCs w:val="1"/>
          <w:noProof w:val="0"/>
          <w:color w:val="000000" w:themeColor="text1" w:themeTint="FF" w:themeShade="FF"/>
          <w:sz w:val="22"/>
          <w:szCs w:val="22"/>
          <w:lang w:val="en-US"/>
        </w:rPr>
        <w:t>Danone</w:t>
      </w:r>
      <w:r w:rsidRPr="590B86EB" w:rsidR="64EBCF12">
        <w:rPr>
          <w:rFonts w:ascii="Calibri" w:hAnsi="Calibri" w:eastAsia="Calibri" w:cs="Calibri"/>
          <w:noProof w:val="0"/>
          <w:color w:val="000000" w:themeColor="text1" w:themeTint="FF" w:themeShade="FF"/>
          <w:sz w:val="22"/>
          <w:szCs w:val="22"/>
          <w:lang w:val="en-US"/>
        </w:rPr>
        <w:t xml:space="preserve">, </w:t>
      </w:r>
      <w:r w:rsidRPr="590B86EB" w:rsidR="64EBCF12">
        <w:rPr>
          <w:rFonts w:ascii="Calibri" w:hAnsi="Calibri" w:eastAsia="Calibri" w:cs="Calibri"/>
          <w:noProof w:val="0"/>
          <w:color w:val="000000" w:themeColor="text1" w:themeTint="FF" w:themeShade="FF"/>
          <w:sz w:val="22"/>
          <w:szCs w:val="22"/>
          <w:lang w:val="en-US"/>
        </w:rPr>
        <w:t>non</w:t>
      </w:r>
      <w:r w:rsidRPr="590B86EB" w:rsidR="64EBCF12">
        <w:rPr>
          <w:rFonts w:ascii="Calibri" w:hAnsi="Calibri" w:eastAsia="Calibri" w:cs="Calibri"/>
          <w:noProof w:val="0"/>
          <w:color w:val="000000" w:themeColor="text1" w:themeTint="FF" w:themeShade="FF"/>
          <w:sz w:val="22"/>
          <w:szCs w:val="22"/>
          <w:lang w:val="en-US"/>
        </w:rPr>
        <w:t xml:space="preserve">-financial reporting goes beyond being a mere ritual and is very much part of its identity and mission. Since the 1970s, the company has been following a </w:t>
      </w:r>
      <w:r w:rsidRPr="590B86EB" w:rsidR="64EBCF12">
        <w:rPr>
          <w:rFonts w:ascii="Calibri" w:hAnsi="Calibri" w:eastAsia="Calibri" w:cs="Calibri"/>
          <w:b w:val="1"/>
          <w:bCs w:val="1"/>
          <w:noProof w:val="0"/>
          <w:color w:val="000000" w:themeColor="text1" w:themeTint="FF" w:themeShade="FF"/>
          <w:sz w:val="22"/>
          <w:szCs w:val="22"/>
          <w:lang w:val="en-US"/>
        </w:rPr>
        <w:t>"dual project"</w:t>
      </w:r>
      <w:r w:rsidRPr="590B86EB" w:rsidR="64EBCF12">
        <w:rPr>
          <w:rFonts w:ascii="Calibri" w:hAnsi="Calibri" w:eastAsia="Calibri" w:cs="Calibri"/>
          <w:noProof w:val="0"/>
          <w:color w:val="000000" w:themeColor="text1" w:themeTint="FF" w:themeShade="FF"/>
          <w:sz w:val="22"/>
          <w:szCs w:val="22"/>
          <w:lang w:val="en-US"/>
        </w:rPr>
        <w:t xml:space="preserve"> that merges economic success with social progress, a model in which profit and responsibility are seen as mutually reinforcing. </w:t>
      </w:r>
      <w:r w:rsidRPr="590B86EB" w:rsidR="64EBCF12">
        <w:rPr>
          <w:rFonts w:ascii="Calibri" w:hAnsi="Calibri" w:eastAsia="Calibri" w:cs="Calibri"/>
          <w:noProof w:val="0"/>
          <w:color w:val="000000" w:themeColor="text1" w:themeTint="FF" w:themeShade="FF"/>
          <w:sz w:val="22"/>
          <w:szCs w:val="22"/>
          <w:lang w:val="en-US"/>
        </w:rPr>
        <w:t xml:space="preserve">By reporting on social and environmental issues, Danone gets the opportunity to portray this equilibrium and </w:t>
      </w:r>
      <w:r w:rsidRPr="590B86EB" w:rsidR="64EBCF12">
        <w:rPr>
          <w:rFonts w:ascii="Calibri" w:hAnsi="Calibri" w:eastAsia="Calibri" w:cs="Calibri"/>
          <w:noProof w:val="0"/>
          <w:color w:val="000000" w:themeColor="text1" w:themeTint="FF" w:themeShade="FF"/>
          <w:sz w:val="22"/>
          <w:szCs w:val="22"/>
          <w:lang w:val="en-US"/>
        </w:rPr>
        <w:t>thus,</w:t>
      </w:r>
      <w:r w:rsidRPr="590B86EB" w:rsidR="64EBCF12">
        <w:rPr>
          <w:rFonts w:ascii="Calibri" w:hAnsi="Calibri" w:eastAsia="Calibri" w:cs="Calibri"/>
          <w:noProof w:val="0"/>
          <w:color w:val="000000" w:themeColor="text1" w:themeTint="FF" w:themeShade="FF"/>
          <w:sz w:val="22"/>
          <w:szCs w:val="22"/>
          <w:lang w:val="en-US"/>
        </w:rPr>
        <w:t xml:space="preserve"> to increase stakeholder trust.</w:t>
      </w:r>
    </w:p>
    <w:p w:rsidR="67162DF2" w:rsidP="590B86EB" w:rsidRDefault="67162DF2" w14:paraId="44F3F65D" w14:textId="33CAC788"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Firstly, </w:t>
      </w:r>
      <w:r w:rsidRPr="590B86EB" w:rsidR="64EBCF12">
        <w:rPr>
          <w:rFonts w:ascii="Calibri" w:hAnsi="Calibri" w:eastAsia="Calibri" w:cs="Calibri"/>
          <w:b w:val="1"/>
          <w:bCs w:val="1"/>
          <w:noProof w:val="0"/>
          <w:color w:val="000000" w:themeColor="text1" w:themeTint="FF" w:themeShade="FF"/>
          <w:sz w:val="22"/>
          <w:szCs w:val="22"/>
          <w:lang w:val="en-US"/>
        </w:rPr>
        <w:t>non-financial disclosure serves to</w:t>
      </w:r>
      <w:r w:rsidRPr="590B86EB" w:rsidR="64EBCF12">
        <w:rPr>
          <w:rFonts w:ascii="Calibri" w:hAnsi="Calibri" w:eastAsia="Calibri" w:cs="Calibri"/>
          <w:noProof w:val="0"/>
          <w:color w:val="000000" w:themeColor="text1" w:themeTint="FF" w:themeShade="FF"/>
          <w:sz w:val="22"/>
          <w:szCs w:val="22"/>
          <w:lang w:val="en-US"/>
        </w:rPr>
        <w:t xml:space="preserve"> </w:t>
      </w:r>
      <w:r w:rsidRPr="590B86EB" w:rsidR="64EBCF12">
        <w:rPr>
          <w:rFonts w:ascii="Calibri" w:hAnsi="Calibri" w:eastAsia="Calibri" w:cs="Calibri"/>
          <w:b w:val="1"/>
          <w:bCs w:val="1"/>
          <w:noProof w:val="0"/>
          <w:color w:val="000000" w:themeColor="text1" w:themeTint="FF" w:themeShade="FF"/>
          <w:sz w:val="22"/>
          <w:szCs w:val="22"/>
          <w:lang w:val="en-US"/>
        </w:rPr>
        <w:t>gain more legitimacy and trust.</w:t>
      </w:r>
      <w:r w:rsidRPr="590B86EB" w:rsidR="64EBCF12">
        <w:rPr>
          <w:rFonts w:ascii="Calibri" w:hAnsi="Calibri" w:eastAsia="Calibri" w:cs="Calibri"/>
          <w:noProof w:val="0"/>
          <w:color w:val="000000" w:themeColor="text1" w:themeTint="FF" w:themeShade="FF"/>
          <w:sz w:val="22"/>
          <w:szCs w:val="22"/>
          <w:lang w:val="en-US"/>
        </w:rPr>
        <w:t xml:space="preserve"> The companies are viewed as </w:t>
      </w:r>
      <w:r w:rsidRPr="590B86EB" w:rsidR="64EBCF12">
        <w:rPr>
          <w:rFonts w:ascii="Calibri" w:hAnsi="Calibri" w:eastAsia="Calibri" w:cs="Calibri"/>
          <w:noProof w:val="0"/>
          <w:color w:val="000000" w:themeColor="text1" w:themeTint="FF" w:themeShade="FF"/>
          <w:sz w:val="22"/>
          <w:szCs w:val="22"/>
          <w:lang w:val="en-US"/>
        </w:rPr>
        <w:t>operating</w:t>
      </w:r>
      <w:r w:rsidRPr="590B86EB" w:rsidR="64EBCF12">
        <w:rPr>
          <w:rFonts w:ascii="Calibri" w:hAnsi="Calibri" w:eastAsia="Calibri" w:cs="Calibri"/>
          <w:noProof w:val="0"/>
          <w:color w:val="000000" w:themeColor="text1" w:themeTint="FF" w:themeShade="FF"/>
          <w:sz w:val="22"/>
          <w:szCs w:val="22"/>
          <w:lang w:val="en-US"/>
        </w:rPr>
        <w:t xml:space="preserve"> under a "social contract" with society.</w:t>
      </w:r>
      <w:r w:rsidRPr="590B86EB" w:rsidR="64EBCF12">
        <w:rPr>
          <w:rFonts w:ascii="Calibri" w:hAnsi="Calibri" w:eastAsia="Calibri" w:cs="Calibri"/>
          <w:noProof w:val="0"/>
          <w:color w:val="000000" w:themeColor="text1" w:themeTint="FF" w:themeShade="FF"/>
          <w:sz w:val="22"/>
          <w:szCs w:val="22"/>
          <w:lang w:val="en-US"/>
        </w:rPr>
        <w:t xml:space="preserve"> Conducting the ESG report on various issues such as carbon reduction, fair labor, nutrition, etc., Danone confirms that it not only keeps the said contract but also that it takes the lead among those who act responsibly towards societies and nature.</w:t>
      </w:r>
    </w:p>
    <w:p w:rsidR="67162DF2" w:rsidP="590B86EB" w:rsidRDefault="67162DF2" w14:paraId="61A00F91" w14:textId="51B3EAA9"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Secondly, </w:t>
      </w:r>
      <w:r w:rsidRPr="590B86EB" w:rsidR="64EBCF12">
        <w:rPr>
          <w:rFonts w:ascii="Calibri" w:hAnsi="Calibri" w:eastAsia="Calibri" w:cs="Calibri"/>
          <w:b w:val="1"/>
          <w:bCs w:val="1"/>
          <w:noProof w:val="0"/>
          <w:color w:val="000000" w:themeColor="text1" w:themeTint="FF" w:themeShade="FF"/>
          <w:sz w:val="22"/>
          <w:szCs w:val="22"/>
          <w:lang w:val="en-US"/>
        </w:rPr>
        <w:t>ESG reporting leads to more</w:t>
      </w:r>
      <w:r w:rsidRPr="590B86EB" w:rsidR="64EBCF12">
        <w:rPr>
          <w:rFonts w:ascii="Calibri" w:hAnsi="Calibri" w:eastAsia="Calibri" w:cs="Calibri"/>
          <w:noProof w:val="0"/>
          <w:color w:val="000000" w:themeColor="text1" w:themeTint="FF" w:themeShade="FF"/>
          <w:sz w:val="22"/>
          <w:szCs w:val="22"/>
          <w:lang w:val="en-US"/>
        </w:rPr>
        <w:t xml:space="preserve"> </w:t>
      </w:r>
      <w:r w:rsidRPr="590B86EB" w:rsidR="64EBCF12">
        <w:rPr>
          <w:rFonts w:ascii="Calibri" w:hAnsi="Calibri" w:eastAsia="Calibri" w:cs="Calibri"/>
          <w:b w:val="1"/>
          <w:bCs w:val="1"/>
          <w:noProof w:val="0"/>
          <w:color w:val="000000" w:themeColor="text1" w:themeTint="FF" w:themeShade="FF"/>
          <w:sz w:val="22"/>
          <w:szCs w:val="22"/>
          <w:lang w:val="en-US"/>
        </w:rPr>
        <w:t xml:space="preserve">stakeholder engagement and </w:t>
      </w:r>
      <w:r w:rsidRPr="590B86EB" w:rsidR="64EBCF12">
        <w:rPr>
          <w:rFonts w:ascii="Calibri" w:hAnsi="Calibri" w:eastAsia="Calibri" w:cs="Calibri"/>
          <w:b w:val="1"/>
          <w:bCs w:val="1"/>
          <w:noProof w:val="0"/>
          <w:color w:val="000000" w:themeColor="text1" w:themeTint="FF" w:themeShade="FF"/>
          <w:sz w:val="22"/>
          <w:szCs w:val="22"/>
          <w:lang w:val="en-US"/>
        </w:rPr>
        <w:t>better</w:t>
      </w:r>
      <w:r w:rsidRPr="590B86EB" w:rsidR="64EBCF12">
        <w:rPr>
          <w:rFonts w:ascii="Calibri" w:hAnsi="Calibri" w:eastAsia="Calibri" w:cs="Calibri"/>
          <w:b w:val="1"/>
          <w:bCs w:val="1"/>
          <w:noProof w:val="0"/>
          <w:color w:val="000000" w:themeColor="text1" w:themeTint="FF" w:themeShade="FF"/>
          <w:sz w:val="22"/>
          <w:szCs w:val="22"/>
          <w:lang w:val="en-US"/>
        </w:rPr>
        <w:t xml:space="preserve"> reputation.</w:t>
      </w:r>
      <w:r w:rsidRPr="590B86EB" w:rsidR="64EBCF12">
        <w:rPr>
          <w:rFonts w:ascii="Calibri" w:hAnsi="Calibri" w:eastAsia="Calibri" w:cs="Calibri"/>
          <w:noProof w:val="0"/>
          <w:color w:val="000000" w:themeColor="text1" w:themeTint="FF" w:themeShade="FF"/>
          <w:sz w:val="22"/>
          <w:szCs w:val="22"/>
          <w:lang w:val="en-US"/>
        </w:rPr>
        <w:t xml:space="preserve"> Sustainable and transparent communication is essential to attract ethical investors, consumers, and employees.</w:t>
      </w:r>
      <w:r w:rsidRPr="590B86EB" w:rsidR="64EBCF12">
        <w:rPr>
          <w:rFonts w:ascii="Calibri" w:hAnsi="Calibri" w:eastAsia="Calibri" w:cs="Calibri"/>
          <w:noProof w:val="0"/>
          <w:color w:val="000000" w:themeColor="text1" w:themeTint="FF" w:themeShade="FF"/>
          <w:sz w:val="22"/>
          <w:szCs w:val="22"/>
          <w:lang w:val="en-US"/>
        </w:rPr>
        <w:t xml:space="preserve"> How Danone was a pilot for the International Integrated Reporting Council (IIRC) is one of the proofs.</w:t>
      </w:r>
    </w:p>
    <w:p w:rsidR="67162DF2" w:rsidP="590B86EB" w:rsidRDefault="67162DF2" w14:paraId="2E4B92D4" w14:textId="02358B0B"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Third, </w:t>
      </w:r>
      <w:r w:rsidRPr="590B86EB" w:rsidR="64EBCF12">
        <w:rPr>
          <w:rFonts w:ascii="Calibri" w:hAnsi="Calibri" w:eastAsia="Calibri" w:cs="Calibri"/>
          <w:b w:val="1"/>
          <w:bCs w:val="1"/>
          <w:noProof w:val="0"/>
          <w:color w:val="000000" w:themeColor="text1" w:themeTint="FF" w:themeShade="FF"/>
          <w:sz w:val="22"/>
          <w:szCs w:val="22"/>
          <w:lang w:val="en-US"/>
        </w:rPr>
        <w:t>corporate social responsibility reports are</w:t>
      </w:r>
      <w:r w:rsidRPr="590B86EB" w:rsidR="64EBCF12">
        <w:rPr>
          <w:rFonts w:ascii="Calibri" w:hAnsi="Calibri" w:eastAsia="Calibri" w:cs="Calibri"/>
          <w:noProof w:val="0"/>
          <w:color w:val="000000" w:themeColor="text1" w:themeTint="FF" w:themeShade="FF"/>
          <w:sz w:val="22"/>
          <w:szCs w:val="22"/>
          <w:lang w:val="en-US"/>
        </w:rPr>
        <w:t xml:space="preserve"> </w:t>
      </w:r>
      <w:r w:rsidRPr="590B86EB" w:rsidR="64EBCF12">
        <w:rPr>
          <w:rFonts w:ascii="Calibri" w:hAnsi="Calibri" w:eastAsia="Calibri" w:cs="Calibri"/>
          <w:b w:val="1"/>
          <w:bCs w:val="1"/>
          <w:noProof w:val="0"/>
          <w:color w:val="000000" w:themeColor="text1" w:themeTint="FF" w:themeShade="FF"/>
          <w:sz w:val="22"/>
          <w:szCs w:val="22"/>
          <w:lang w:val="en-US"/>
        </w:rPr>
        <w:t>geared to internal management and decision-making.</w:t>
      </w:r>
      <w:r w:rsidRPr="590B86EB" w:rsidR="64EBCF12">
        <w:rPr>
          <w:rFonts w:ascii="Calibri" w:hAnsi="Calibri" w:eastAsia="Calibri" w:cs="Calibri"/>
          <w:noProof w:val="0"/>
          <w:color w:val="000000" w:themeColor="text1" w:themeTint="FF" w:themeShade="FF"/>
          <w:sz w:val="22"/>
          <w:szCs w:val="22"/>
          <w:lang w:val="en-US"/>
        </w:rPr>
        <w:t xml:space="preserve"> Projects like </w:t>
      </w:r>
      <w:r w:rsidRPr="590B86EB" w:rsidR="64EBCF12">
        <w:rPr>
          <w:rFonts w:ascii="Calibri" w:hAnsi="Calibri" w:eastAsia="Calibri" w:cs="Calibri"/>
          <w:i w:val="1"/>
          <w:iCs w:val="1"/>
          <w:noProof w:val="0"/>
          <w:color w:val="000000" w:themeColor="text1" w:themeTint="FF" w:themeShade="FF"/>
          <w:sz w:val="22"/>
          <w:szCs w:val="22"/>
          <w:lang w:val="en-US"/>
        </w:rPr>
        <w:t>The Danone Way</w:t>
      </w:r>
      <w:r w:rsidRPr="590B86EB" w:rsidR="64EBCF12">
        <w:rPr>
          <w:rFonts w:ascii="Calibri" w:hAnsi="Calibri" w:eastAsia="Calibri" w:cs="Calibri"/>
          <w:noProof w:val="0"/>
          <w:color w:val="000000" w:themeColor="text1" w:themeTint="FF" w:themeShade="FF"/>
          <w:sz w:val="22"/>
          <w:szCs w:val="22"/>
          <w:lang w:val="en-US"/>
        </w:rPr>
        <w:t xml:space="preserve"> and the </w:t>
      </w:r>
      <w:r w:rsidRPr="590B86EB" w:rsidR="64EBCF12">
        <w:rPr>
          <w:rFonts w:ascii="Calibri" w:hAnsi="Calibri" w:eastAsia="Calibri" w:cs="Calibri"/>
          <w:b w:val="1"/>
          <w:bCs w:val="1"/>
          <w:noProof w:val="0"/>
          <w:color w:val="000000" w:themeColor="text1" w:themeTint="FF" w:themeShade="FF"/>
          <w:sz w:val="22"/>
          <w:szCs w:val="22"/>
          <w:lang w:val="en-US"/>
        </w:rPr>
        <w:t>Carbon Accounting Initiative</w:t>
      </w:r>
      <w:r w:rsidRPr="590B86EB" w:rsidR="64EBCF12">
        <w:rPr>
          <w:rFonts w:ascii="Calibri" w:hAnsi="Calibri" w:eastAsia="Calibri" w:cs="Calibri"/>
          <w:noProof w:val="0"/>
          <w:color w:val="000000" w:themeColor="text1" w:themeTint="FF" w:themeShade="FF"/>
          <w:sz w:val="22"/>
          <w:szCs w:val="22"/>
          <w:lang w:val="en-US"/>
        </w:rPr>
        <w:t xml:space="preserve"> were instrumental in moving the company from vague sustainability commitments to concrete measurement, risk identification, and the linkage of goals to managerial incentives. These frameworks converted ESG information into one of the operational efficiency and innovation levers.</w:t>
      </w:r>
    </w:p>
    <w:p w:rsidR="67162DF2" w:rsidP="590B86EB" w:rsidRDefault="67162DF2" w14:paraId="63AB37C4" w14:textId="4CBA5DB1"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Fourth, </w:t>
      </w:r>
      <w:r w:rsidRPr="590B86EB" w:rsidR="64EBCF12">
        <w:rPr>
          <w:rFonts w:ascii="Calibri" w:hAnsi="Calibri" w:eastAsia="Calibri" w:cs="Calibri"/>
          <w:b w:val="1"/>
          <w:bCs w:val="1"/>
          <w:noProof w:val="0"/>
          <w:color w:val="000000" w:themeColor="text1" w:themeTint="FF" w:themeShade="FF"/>
          <w:sz w:val="22"/>
          <w:szCs w:val="22"/>
          <w:lang w:val="en-US"/>
        </w:rPr>
        <w:t xml:space="preserve">non-financial disclosure is a reaction to </w:t>
      </w:r>
      <w:r w:rsidRPr="590B86EB" w:rsidR="64EBCF12">
        <w:rPr>
          <w:rFonts w:ascii="Calibri" w:hAnsi="Calibri" w:eastAsia="Calibri" w:cs="Calibri"/>
          <w:b w:val="1"/>
          <w:bCs w:val="1"/>
          <w:noProof w:val="0"/>
          <w:color w:val="000000" w:themeColor="text1" w:themeTint="FF" w:themeShade="FF"/>
          <w:sz w:val="22"/>
          <w:szCs w:val="22"/>
          <w:lang w:val="en-US"/>
        </w:rPr>
        <w:t>the increasing</w:t>
      </w:r>
      <w:r w:rsidRPr="590B86EB" w:rsidR="64EBCF12">
        <w:rPr>
          <w:rFonts w:ascii="Calibri" w:hAnsi="Calibri" w:eastAsia="Calibri" w:cs="Calibri"/>
          <w:noProof w:val="0"/>
          <w:color w:val="000000" w:themeColor="text1" w:themeTint="FF" w:themeShade="FF"/>
          <w:sz w:val="22"/>
          <w:szCs w:val="22"/>
          <w:lang w:val="en-US"/>
        </w:rPr>
        <w:t xml:space="preserve"> </w:t>
      </w:r>
      <w:r w:rsidRPr="590B86EB" w:rsidR="64EBCF12">
        <w:rPr>
          <w:rFonts w:ascii="Calibri" w:hAnsi="Calibri" w:eastAsia="Calibri" w:cs="Calibri"/>
          <w:b w:val="1"/>
          <w:bCs w:val="1"/>
          <w:noProof w:val="0"/>
          <w:color w:val="000000" w:themeColor="text1" w:themeTint="FF" w:themeShade="FF"/>
          <w:sz w:val="22"/>
          <w:szCs w:val="22"/>
          <w:lang w:val="en-US"/>
        </w:rPr>
        <w:t>regulatory and market demands.</w:t>
      </w:r>
      <w:r w:rsidRPr="590B86EB" w:rsidR="64EBCF12">
        <w:rPr>
          <w:rFonts w:ascii="Calibri" w:hAnsi="Calibri" w:eastAsia="Calibri" w:cs="Calibri"/>
          <w:noProof w:val="0"/>
          <w:color w:val="000000" w:themeColor="text1" w:themeTint="FF" w:themeShade="FF"/>
          <w:sz w:val="22"/>
          <w:szCs w:val="22"/>
          <w:lang w:val="en-US"/>
        </w:rPr>
        <w:t xml:space="preserve"> The call for integrated reports combining financial and ESG data is coming from governments, investors, and civil society alike.</w:t>
      </w:r>
      <w:r w:rsidRPr="590B86EB" w:rsidR="64EBCF12">
        <w:rPr>
          <w:rFonts w:ascii="Calibri" w:hAnsi="Calibri" w:eastAsia="Calibri" w:cs="Calibri"/>
          <w:noProof w:val="0"/>
          <w:color w:val="000000" w:themeColor="text1" w:themeTint="FF" w:themeShade="FF"/>
          <w:sz w:val="22"/>
          <w:szCs w:val="22"/>
          <w:lang w:val="en-US"/>
        </w:rPr>
        <w:t xml:space="preserve"> Danone’s move to harmonize carbon accounting with the </w:t>
      </w:r>
      <w:r w:rsidRPr="590B86EB" w:rsidR="64EBCF12">
        <w:rPr>
          <w:rFonts w:ascii="Calibri" w:hAnsi="Calibri" w:eastAsia="Calibri" w:cs="Calibri"/>
          <w:b w:val="1"/>
          <w:bCs w:val="1"/>
          <w:noProof w:val="0"/>
          <w:color w:val="000000" w:themeColor="text1" w:themeTint="FF" w:themeShade="FF"/>
          <w:sz w:val="22"/>
          <w:szCs w:val="22"/>
          <w:lang w:val="en-US"/>
        </w:rPr>
        <w:t>GHG Protocol</w:t>
      </w:r>
      <w:r w:rsidRPr="590B86EB" w:rsidR="64EBCF12">
        <w:rPr>
          <w:rFonts w:ascii="Calibri" w:hAnsi="Calibri" w:eastAsia="Calibri" w:cs="Calibri"/>
          <w:noProof w:val="0"/>
          <w:color w:val="000000" w:themeColor="text1" w:themeTint="FF" w:themeShade="FF"/>
          <w:sz w:val="22"/>
          <w:szCs w:val="22"/>
          <w:lang w:val="en-US"/>
        </w:rPr>
        <w:t xml:space="preserve"> was a well-calculated step in the direction of external credibility and comparability.</w:t>
      </w:r>
    </w:p>
    <w:p w:rsidR="67162DF2" w:rsidP="590B86EB" w:rsidRDefault="67162DF2" w14:paraId="4AC36700" w14:textId="5D573312" w14:noSpellErr="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Lastly, </w:t>
      </w:r>
      <w:r w:rsidRPr="590B86EB" w:rsidR="64EBCF12">
        <w:rPr>
          <w:rFonts w:ascii="Calibri" w:hAnsi="Calibri" w:eastAsia="Calibri" w:cs="Calibri"/>
          <w:b w:val="1"/>
          <w:bCs w:val="1"/>
          <w:noProof w:val="0"/>
          <w:color w:val="000000" w:themeColor="text1" w:themeTint="FF" w:themeShade="FF"/>
          <w:sz w:val="22"/>
          <w:szCs w:val="22"/>
          <w:lang w:val="en-US"/>
        </w:rPr>
        <w:t>ESG disclosure is instrumental in</w:t>
      </w:r>
      <w:r w:rsidRPr="590B86EB" w:rsidR="64EBCF12">
        <w:rPr>
          <w:rFonts w:ascii="Calibri" w:hAnsi="Calibri" w:eastAsia="Calibri" w:cs="Calibri"/>
          <w:noProof w:val="0"/>
          <w:color w:val="000000" w:themeColor="text1" w:themeTint="FF" w:themeShade="FF"/>
          <w:sz w:val="22"/>
          <w:szCs w:val="22"/>
          <w:lang w:val="en-US"/>
        </w:rPr>
        <w:t xml:space="preserve"> </w:t>
      </w:r>
      <w:r w:rsidRPr="590B86EB" w:rsidR="64EBCF12">
        <w:rPr>
          <w:rFonts w:ascii="Calibri" w:hAnsi="Calibri" w:eastAsia="Calibri" w:cs="Calibri"/>
          <w:b w:val="1"/>
          <w:bCs w:val="1"/>
          <w:noProof w:val="0"/>
          <w:color w:val="000000" w:themeColor="text1" w:themeTint="FF" w:themeShade="FF"/>
          <w:sz w:val="22"/>
          <w:szCs w:val="22"/>
          <w:lang w:val="en-US"/>
        </w:rPr>
        <w:t>mitigating long-term risks and raising the bar for value creation.</w:t>
      </w:r>
      <w:r w:rsidRPr="590B86EB" w:rsidR="64EBCF12">
        <w:rPr>
          <w:rFonts w:ascii="Calibri" w:hAnsi="Calibri" w:eastAsia="Calibri" w:cs="Calibri"/>
          <w:noProof w:val="0"/>
          <w:color w:val="000000" w:themeColor="text1" w:themeTint="FF" w:themeShade="FF"/>
          <w:sz w:val="22"/>
          <w:szCs w:val="22"/>
          <w:lang w:val="en-US"/>
        </w:rPr>
        <w:t xml:space="preserve"> Topics such as global warming, the ethics of supply chains, and the well-being of employees are, in fact, the factors that </w:t>
      </w:r>
      <w:r w:rsidRPr="590B86EB" w:rsidR="64EBCF12">
        <w:rPr>
          <w:rFonts w:ascii="Calibri" w:hAnsi="Calibri" w:eastAsia="Calibri" w:cs="Calibri"/>
          <w:noProof w:val="0"/>
          <w:color w:val="000000" w:themeColor="text1" w:themeTint="FF" w:themeShade="FF"/>
          <w:sz w:val="22"/>
          <w:szCs w:val="22"/>
          <w:lang w:val="en-US"/>
        </w:rPr>
        <w:t>determine</w:t>
      </w:r>
      <w:r w:rsidRPr="590B86EB" w:rsidR="64EBCF12">
        <w:rPr>
          <w:rFonts w:ascii="Calibri" w:hAnsi="Calibri" w:eastAsia="Calibri" w:cs="Calibri"/>
          <w:noProof w:val="0"/>
          <w:color w:val="000000" w:themeColor="text1" w:themeTint="FF" w:themeShade="FF"/>
          <w:sz w:val="22"/>
          <w:szCs w:val="22"/>
          <w:lang w:val="en-US"/>
        </w:rPr>
        <w:t xml:space="preserve"> the robustness of a business.</w:t>
      </w:r>
      <w:r w:rsidRPr="590B86EB" w:rsidR="64EBCF12">
        <w:rPr>
          <w:rFonts w:ascii="Calibri" w:hAnsi="Calibri" w:eastAsia="Calibri" w:cs="Calibri"/>
          <w:noProof w:val="0"/>
          <w:color w:val="000000" w:themeColor="text1" w:themeTint="FF" w:themeShade="FF"/>
          <w:sz w:val="22"/>
          <w:szCs w:val="22"/>
          <w:lang w:val="en-US"/>
        </w:rPr>
        <w:t xml:space="preserve"> To take an example, Danone’s effort to cut down on emissions not only kept the supply of raw materials safe but also made the brand more attractive while at the same time creating space for fresh, eco-friendly business models.</w:t>
      </w:r>
    </w:p>
    <w:p w:rsidR="3838DD22" w:rsidP="590B86EB" w:rsidRDefault="3838DD22" w14:paraId="4B6719DF" w14:noSpellErr="1" w14:textId="7CFFC7D1">
      <w:pPr>
        <w:spacing w:before="0" w:beforeAutospacing="off" w:after="160" w:afterAutospacing="off" w:line="276" w:lineRule="auto"/>
        <w:jc w:val="both"/>
        <w:rPr>
          <w:rFonts w:ascii="Calibri" w:hAnsi="Calibri" w:eastAsia="Calibri" w:cs="Calibri"/>
          <w:noProof w:val="0"/>
          <w:color w:val="000000" w:themeColor="text1" w:themeTint="FF" w:themeShade="FF"/>
          <w:sz w:val="22"/>
          <w:szCs w:val="22"/>
          <w:lang w:val="en-US"/>
        </w:rPr>
      </w:pPr>
      <w:r w:rsidRPr="590B86EB" w:rsidR="64EBCF12">
        <w:rPr>
          <w:rFonts w:ascii="Calibri" w:hAnsi="Calibri" w:eastAsia="Calibri" w:cs="Calibri"/>
          <w:noProof w:val="0"/>
          <w:color w:val="000000" w:themeColor="text1" w:themeTint="FF" w:themeShade="FF"/>
          <w:sz w:val="22"/>
          <w:szCs w:val="22"/>
          <w:lang w:val="en-US"/>
        </w:rPr>
        <w:t xml:space="preserve">To sum up, corporations reveal information about non-financial aspects </w:t>
      </w:r>
      <w:r w:rsidRPr="590B86EB" w:rsidR="64EBCF12">
        <w:rPr>
          <w:rFonts w:ascii="Calibri" w:hAnsi="Calibri" w:eastAsia="Calibri" w:cs="Calibri"/>
          <w:noProof w:val="0"/>
          <w:color w:val="000000" w:themeColor="text1" w:themeTint="FF" w:themeShade="FF"/>
          <w:sz w:val="22"/>
          <w:szCs w:val="22"/>
          <w:lang w:val="en-US"/>
        </w:rPr>
        <w:t>in order to</w:t>
      </w:r>
      <w:r w:rsidRPr="590B86EB" w:rsidR="64EBCF12">
        <w:rPr>
          <w:rFonts w:ascii="Calibri" w:hAnsi="Calibri" w:eastAsia="Calibri" w:cs="Calibri"/>
          <w:noProof w:val="0"/>
          <w:color w:val="000000" w:themeColor="text1" w:themeTint="FF" w:themeShade="FF"/>
          <w:sz w:val="22"/>
          <w:szCs w:val="22"/>
          <w:lang w:val="en-US"/>
        </w:rPr>
        <w:t xml:space="preserve"> foster confidence, stakeholder engagement, and sustainable performance. For Danone, this kind of disclosure goes far beyond just being a communication instrument - it is a fundamental manifestation of the company's</w:t>
      </w:r>
      <w:r w:rsidRPr="590B86EB" w:rsidR="5FB0E805">
        <w:rPr>
          <w:rFonts w:ascii="Calibri" w:hAnsi="Calibri" w:eastAsia="Calibri" w:cs="Calibri"/>
          <w:noProof w:val="0"/>
          <w:color w:val="000000" w:themeColor="text1" w:themeTint="FF" w:themeShade="FF"/>
          <w:sz w:val="22"/>
          <w:szCs w:val="22"/>
          <w:lang w:val="en-US"/>
        </w:rPr>
        <w:t xml:space="preserve"> purpose</w:t>
      </w:r>
      <w:r w:rsidRPr="590B86EB" w:rsidR="64EBCF12">
        <w:rPr>
          <w:rFonts w:ascii="Calibri" w:hAnsi="Calibri" w:eastAsia="Calibri" w:cs="Calibri"/>
          <w:noProof w:val="0"/>
          <w:color w:val="000000" w:themeColor="text1" w:themeTint="FF" w:themeShade="FF"/>
          <w:sz w:val="22"/>
          <w:szCs w:val="22"/>
          <w:lang w:val="en-US"/>
        </w:rPr>
        <w:t>: the integration of economic performance with social and environmental responsibility.</w:t>
      </w:r>
    </w:p>
    <w:p w:rsidR="4A25841E" w:rsidP="590B86EB" w:rsidRDefault="4A25841E" w14:noSpellErr="1" w14:paraId="48A61398" w14:textId="414FC47E">
      <w:pPr>
        <w:pStyle w:val="Normal"/>
        <w:jc w:val="both"/>
        <w:rPr>
          <w:b w:val="1"/>
          <w:bCs w:val="1"/>
          <w:sz w:val="22"/>
          <w:szCs w:val="22"/>
          <w:lang w:val="en-US"/>
        </w:rPr>
      </w:pPr>
      <w:r w:rsidRPr="590B86EB" w:rsidR="4A25841E">
        <w:rPr>
          <w:b w:val="1"/>
          <w:bCs w:val="1"/>
          <w:sz w:val="22"/>
          <w:szCs w:val="22"/>
          <w:lang w:val="en-US"/>
        </w:rPr>
        <w:t xml:space="preserve">4. </w:t>
      </w:r>
      <w:r w:rsidRPr="590B86EB" w:rsidR="4A25841E">
        <w:rPr>
          <w:b w:val="1"/>
          <w:bCs w:val="1"/>
          <w:sz w:val="22"/>
          <w:szCs w:val="22"/>
          <w:lang w:val="en-US"/>
        </w:rPr>
        <w:t>Analyze</w:t>
      </w:r>
      <w:r w:rsidRPr="590B86EB" w:rsidR="4A25841E">
        <w:rPr>
          <w:b w:val="1"/>
          <w:bCs w:val="1"/>
          <w:sz w:val="22"/>
          <w:szCs w:val="22"/>
          <w:lang w:val="en-US"/>
        </w:rPr>
        <w:t xml:space="preserve"> the different frameworks available to Danone, including those already in use internally</w:t>
      </w:r>
    </w:p>
    <w:p w:rsidR="0CE8457B" w:rsidP="590B86EB" w:rsidRDefault="0CE8457B" w14:paraId="0B6E379E" w14:textId="3D29CFD0">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1"/>
          <w:bCs w:val="1"/>
          <w:i w:val="0"/>
          <w:iCs w:val="0"/>
          <w:caps w:val="0"/>
          <w:smallCaps w:val="0"/>
          <w:noProof w:val="0"/>
          <w:color w:val="000000" w:themeColor="text1" w:themeTint="FF" w:themeShade="FF"/>
          <w:sz w:val="22"/>
          <w:szCs w:val="22"/>
          <w:lang w:val="en-US"/>
        </w:rPr>
        <w:t>The Danone way</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(2001):</w:t>
      </w:r>
    </w:p>
    <w:p w:rsidR="0CE8457B" w:rsidP="590B86EB" w:rsidRDefault="0CE8457B" w14:paraId="519CC4ED" w14:textId="2BBE4BC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Goal</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For all country business units (CBU’s) to reach the set sustainable development targets across 5 areas: human rights, human relations, environment, consumers, and governance.</w:t>
      </w:r>
    </w:p>
    <w:p w:rsidR="0CE8457B" w:rsidP="590B86EB" w:rsidRDefault="0CE8457B" w14:paraId="66316DE2" w14:textId="1122961E">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Process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Annual self-</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assesment</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1000-point scoring system and star ratings.</w:t>
      </w:r>
    </w:p>
    <w:p w:rsidR="0CE8457B" w:rsidP="590B86EB" w:rsidRDefault="0CE8457B" w14:paraId="67F633D7" w14:textId="7DC49842">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Strengths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Built into Danone’s culture and aligned with what it aims to do socially and economically.</w:t>
      </w:r>
    </w:p>
    <w:p w:rsidR="0CE8457B" w:rsidP="590B86EB" w:rsidRDefault="0CE8457B" w14:paraId="4EC747A5" w14:textId="5CC3A1F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Weaknesses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Focused internally, with little recognition or benchmarking compared to other firms.</w:t>
      </w:r>
    </w:p>
    <w:p w:rsidR="590B86EB" w:rsidP="590B86EB" w:rsidRDefault="590B86EB" w14:paraId="3B347F8E" w14:textId="0ADF03EA">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8457B" w:rsidP="590B86EB" w:rsidRDefault="0CE8457B" w14:paraId="5A766F93" w14:textId="07122F5C">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1"/>
          <w:bCs w:val="1"/>
          <w:i w:val="0"/>
          <w:iCs w:val="0"/>
          <w:caps w:val="0"/>
          <w:smallCaps w:val="0"/>
          <w:noProof w:val="0"/>
          <w:color w:val="000000" w:themeColor="text1" w:themeTint="FF" w:themeShade="FF"/>
          <w:sz w:val="22"/>
          <w:szCs w:val="22"/>
          <w:lang w:val="en-US"/>
        </w:rPr>
        <w:t>Reporting using the Global Reporting Initiative</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(2004):</w:t>
      </w:r>
    </w:p>
    <w:p w:rsidR="0CE8457B" w:rsidP="590B86EB" w:rsidRDefault="0CE8457B" w14:paraId="460DF446" w14:textId="3A243689">
      <w:pPr>
        <w:pStyle w:val="Paragraphedeliste"/>
        <w:numPr>
          <w:ilvl w:val="0"/>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Focus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to create</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transparency with economic,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environmental</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social indicators. It was the most widely used sustainability reporting framework globally.</w:t>
      </w:r>
    </w:p>
    <w:p w:rsidR="0CE8457B" w:rsidP="590B86EB" w:rsidRDefault="0CE8457B" w14:paraId="56D6A0C9" w14:textId="461C6F6D">
      <w:pPr>
        <w:pStyle w:val="Paragraphedeliste"/>
        <w:numPr>
          <w:ilvl w:val="0"/>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Strengths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CE8457B" w:rsidP="590B86EB" w:rsidRDefault="0CE8457B" w14:paraId="456FC547" w14:textId="129E1078">
      <w:pPr>
        <w:pStyle w:val="Paragraphedeliste"/>
        <w:numPr>
          <w:ilvl w:val="1"/>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standardized and recognized by investors and regulators as well.</w:t>
      </w:r>
    </w:p>
    <w:p w:rsidR="0CE8457B" w:rsidP="590B86EB" w:rsidRDefault="0CE8457B" w14:paraId="05E83081" w14:textId="3793FF80">
      <w:pPr>
        <w:pStyle w:val="Paragraphedeliste"/>
        <w:numPr>
          <w:ilvl w:val="1"/>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Danone can communicate its progress in a structured way.</w:t>
      </w:r>
    </w:p>
    <w:p w:rsidR="0CE8457B" w:rsidP="590B86EB" w:rsidRDefault="0CE8457B" w14:paraId="724057CC" w14:textId="7BD0A4AC">
      <w:pPr>
        <w:pStyle w:val="Paragraphedeliste"/>
        <w:numPr>
          <w:ilvl w:val="0"/>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Weaknesses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8457B" w:rsidP="590B86EB" w:rsidRDefault="0CE8457B" w14:paraId="25D36913" w14:textId="2F088472">
      <w:pPr>
        <w:pStyle w:val="Paragraphedeliste"/>
        <w:numPr>
          <w:ilvl w:val="1"/>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contains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big</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complex set of indicators,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can</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result in long and data-heavy reports.</w:t>
      </w:r>
    </w:p>
    <w:p w:rsidR="0CE8457B" w:rsidP="590B86EB" w:rsidRDefault="0CE8457B" w14:paraId="27401ADA" w14:textId="7B44E79A">
      <w:pPr>
        <w:pStyle w:val="Paragraphedeliste"/>
        <w:numPr>
          <w:ilvl w:val="1"/>
          <w:numId w:val="1"/>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financial</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non-financial dimensions are not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integrated fully</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90B86EB" w:rsidP="590B86EB" w:rsidRDefault="590B86EB" w14:paraId="3109E5DC" w14:textId="0D7939D9">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8457B" w:rsidP="590B86EB" w:rsidRDefault="0CE8457B" w14:paraId="3FDA2F43" w14:textId="66AE8AA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1"/>
          <w:bCs w:val="1"/>
          <w:i w:val="0"/>
          <w:iCs w:val="0"/>
          <w:caps w:val="0"/>
          <w:smallCaps w:val="0"/>
          <w:noProof w:val="0"/>
          <w:color w:val="000000" w:themeColor="text1" w:themeTint="FF" w:themeShade="FF"/>
          <w:sz w:val="22"/>
          <w:szCs w:val="22"/>
          <w:lang w:val="en-US"/>
        </w:rPr>
        <w:t>The Carbon Accounting initiative</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(2006):</w:t>
      </w:r>
    </w:p>
    <w:p w:rsidR="0CE8457B" w:rsidP="590B86EB" w:rsidRDefault="0CE8457B" w14:paraId="0C87B215" w14:textId="2A8C664F">
      <w:pPr>
        <w:pStyle w:val="Paragraphedeliste"/>
        <w:numPr>
          <w:ilvl w:val="0"/>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Approach</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develop an in-house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methodology</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international standards (ISO 14040, PAS 2050 &amp; GHG Protocol)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à</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external credibility</w:t>
      </w:r>
    </w:p>
    <w:p w:rsidR="0CE8457B" w:rsidP="590B86EB" w:rsidRDefault="0CE8457B" w14:paraId="06358337" w14:textId="29B2A21C">
      <w:pPr>
        <w:pStyle w:val="Paragraphedeliste"/>
        <w:numPr>
          <w:ilvl w:val="0"/>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Goal</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quantify the carbon footprint across the company’s whole value chain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à</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reduce the carbon footprint</w:t>
      </w:r>
    </w:p>
    <w:p w:rsidR="0CE8457B" w:rsidP="590B86EB" w:rsidRDefault="0CE8457B" w14:paraId="506E9B86" w14:textId="1A675C15">
      <w:pPr>
        <w:pStyle w:val="Paragraphedeliste"/>
        <w:numPr>
          <w:ilvl w:val="0"/>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Strengths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8457B" w:rsidP="590B86EB" w:rsidRDefault="0CE8457B" w14:paraId="20E49FCA" w14:textId="2FEF0A3B">
      <w:pPr>
        <w:pStyle w:val="Paragraphedeliste"/>
        <w:numPr>
          <w:ilvl w:val="1"/>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to set concrete, quantified and measurable goals (for example: 30% reduction in 4 years)</w:t>
      </w:r>
    </w:p>
    <w:p w:rsidR="0CE8457B" w:rsidP="590B86EB" w:rsidRDefault="0CE8457B" w14:paraId="5F77BBAE" w14:textId="28FE25C1">
      <w:pPr>
        <w:pStyle w:val="Paragraphedeliste"/>
        <w:numPr>
          <w:ilvl w:val="1"/>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achievement of the goals can relate to the executive compensation system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à</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strong internal motivation</w:t>
      </w:r>
    </w:p>
    <w:p w:rsidR="0CE8457B" w:rsidP="590B86EB" w:rsidRDefault="0CE8457B" w14:paraId="0C487B23" w14:textId="4CA7AA99">
      <w:pPr>
        <w:pStyle w:val="Paragraphedeliste"/>
        <w:numPr>
          <w:ilvl w:val="0"/>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Weaknesses</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8457B" w:rsidP="590B86EB" w:rsidRDefault="0CE8457B" w14:paraId="6AB06B40" w14:textId="7B2D0122">
      <w:pPr>
        <w:pStyle w:val="Paragraphedeliste"/>
        <w:numPr>
          <w:ilvl w:val="1"/>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framework focused on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mainly environmental</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issues rather than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a holistic approach</w:t>
      </w:r>
    </w:p>
    <w:p w:rsidR="0CE8457B" w:rsidP="590B86EB" w:rsidRDefault="0CE8457B" w14:paraId="6F319AB6" w14:textId="072E2B45">
      <w:pPr>
        <w:pStyle w:val="Paragraphedeliste"/>
        <w:numPr>
          <w:ilvl w:val="1"/>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first external stakeholders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acknowledge the initiative</w:t>
      </w:r>
    </w:p>
    <w:p w:rsidR="590B86EB" w:rsidP="590B86EB" w:rsidRDefault="590B86EB" w14:paraId="5C2CD100" w14:textId="116B5086">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90B86EB" w:rsidP="590B86EB" w:rsidRDefault="590B86EB" w14:paraId="2696F34D" w14:textId="0538426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90B86EB" w:rsidP="590B86EB" w:rsidRDefault="590B86EB" w14:paraId="4438CC32" w14:textId="419DB107">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90B86EB" w:rsidP="590B86EB" w:rsidRDefault="590B86EB" w14:paraId="3ACDAC93" w14:textId="3DD39D4D">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8457B" w:rsidP="590B86EB" w:rsidRDefault="0CE8457B" w14:paraId="1A4F2D72" w14:textId="2B28A646">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1"/>
          <w:bCs w:val="1"/>
          <w:i w:val="0"/>
          <w:iCs w:val="0"/>
          <w:caps w:val="0"/>
          <w:smallCaps w:val="0"/>
          <w:noProof w:val="0"/>
          <w:color w:val="000000" w:themeColor="text1" w:themeTint="FF" w:themeShade="FF"/>
          <w:sz w:val="22"/>
          <w:szCs w:val="22"/>
          <w:lang w:val="en-US"/>
        </w:rPr>
        <w:t>International Integrated Reporting Council’s Framework</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(external, 2011)</w:t>
      </w:r>
    </w:p>
    <w:p w:rsidR="28F3D178" w:rsidP="590B86EB" w:rsidRDefault="28F3D178" w14:paraId="71C99174" w14:textId="4A98DE45">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28F3D178">
        <w:rPr>
          <w:rFonts w:ascii="Calibri" w:hAnsi="Calibri" w:eastAsia="Calibri" w:cs="Calibri"/>
          <w:b w:val="0"/>
          <w:bCs w:val="0"/>
          <w:i w:val="0"/>
          <w:iCs w:val="0"/>
          <w:caps w:val="0"/>
          <w:smallCaps w:val="0"/>
          <w:noProof w:val="0"/>
          <w:color w:val="000000" w:themeColor="text1" w:themeTint="FF" w:themeShade="FF"/>
          <w:sz w:val="22"/>
          <w:szCs w:val="22"/>
          <w:u w:val="single"/>
          <w:lang w:val="en-US"/>
        </w:rPr>
        <w:t>Purpose</w:t>
      </w:r>
      <w:r w:rsidRPr="590B86EB" w:rsidR="28F3D178">
        <w:rPr>
          <w:rFonts w:ascii="Calibri" w:hAnsi="Calibri" w:eastAsia="Calibri" w:cs="Calibri"/>
          <w:b w:val="0"/>
          <w:bCs w:val="0"/>
          <w:i w:val="0"/>
          <w:iCs w:val="0"/>
          <w:caps w:val="0"/>
          <w:smallCaps w:val="0"/>
          <w:noProof w:val="0"/>
          <w:color w:val="000000" w:themeColor="text1" w:themeTint="FF" w:themeShade="FF"/>
          <w:sz w:val="22"/>
          <w:szCs w:val="22"/>
          <w:lang w:val="en-US"/>
        </w:rPr>
        <w:t>: To create a single integrated report combining financial and non-financial information, showing how organizations create value over time.</w:t>
      </w:r>
    </w:p>
    <w:p w:rsidR="0CE8457B" w:rsidP="590B86EB" w:rsidRDefault="0CE8457B" w14:paraId="0133F79C" w14:textId="6EA2A66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Decision</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Danone chose not to adopt the framework, seeing it as too focused on investors and on putting a financial value on intangible impacts, which </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align with its wider social mission. </w:t>
      </w:r>
    </w:p>
    <w:p w:rsidR="590B86EB" w:rsidP="590B86EB" w:rsidRDefault="590B86EB" w14:paraId="10692FD2" w14:textId="08D26F1A">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8457B" w:rsidP="590B86EB" w:rsidRDefault="0CE8457B" w14:paraId="70A291A9" w14:textId="2F85757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1"/>
          <w:bCs w:val="1"/>
          <w:i w:val="0"/>
          <w:iCs w:val="0"/>
          <w:caps w:val="0"/>
          <w:smallCaps w:val="0"/>
          <w:noProof w:val="0"/>
          <w:color w:val="000000" w:themeColor="text1" w:themeTint="FF" w:themeShade="FF"/>
          <w:sz w:val="22"/>
          <w:szCs w:val="22"/>
          <w:lang w:val="en-US"/>
        </w:rPr>
        <w:t>Sustainability Accounting Standard Board</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(External, 2012)</w:t>
      </w:r>
    </w:p>
    <w:p w:rsidR="0CE8457B" w:rsidP="590B86EB" w:rsidRDefault="0CE8457B" w14:paraId="1FEF5AA8" w14:textId="585A1CA8">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Purpose</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To include financial and non-financial information into one report focused on value creation across six “capitals”</w:t>
      </w:r>
    </w:p>
    <w:p w:rsidR="0CE8457B" w:rsidP="590B86EB" w:rsidRDefault="0CE8457B" w14:paraId="14A2BAD7" w14:textId="12FD6801">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0B86EB" w:rsidR="0CE8457B">
        <w:rPr>
          <w:rFonts w:ascii="Calibri" w:hAnsi="Calibri" w:eastAsia="Calibri" w:cs="Calibri"/>
          <w:b w:val="0"/>
          <w:bCs w:val="0"/>
          <w:i w:val="0"/>
          <w:iCs w:val="0"/>
          <w:caps w:val="0"/>
          <w:smallCaps w:val="0"/>
          <w:noProof w:val="0"/>
          <w:color w:val="000000" w:themeColor="text1" w:themeTint="FF" w:themeShade="FF"/>
          <w:sz w:val="22"/>
          <w:szCs w:val="22"/>
          <w:u w:val="single"/>
          <w:lang w:val="en-US"/>
        </w:rPr>
        <w:t>Decision</w:t>
      </w:r>
      <w:r w:rsidRPr="590B86EB" w:rsidR="0CE8457B">
        <w:rPr>
          <w:rFonts w:ascii="Calibri" w:hAnsi="Calibri" w:eastAsia="Calibri" w:cs="Calibri"/>
          <w:b w:val="0"/>
          <w:bCs w:val="0"/>
          <w:i w:val="0"/>
          <w:iCs w:val="0"/>
          <w:caps w:val="0"/>
          <w:smallCaps w:val="0"/>
          <w:noProof w:val="0"/>
          <w:color w:val="000000" w:themeColor="text1" w:themeTint="FF" w:themeShade="FF"/>
          <w:sz w:val="22"/>
          <w:szCs w:val="22"/>
          <w:lang w:val="en-US"/>
        </w:rPr>
        <w:t>: Danone decided not to implement the framework, as they felt it focused too heavily on financial aspects and conflicted with their broader stakeholder approach and European CSR values.</w:t>
      </w:r>
    </w:p>
    <w:sectPr w:rsidRPr="005554BF" w:rsidR="005554BF">
      <w:pgSz w:w="11906" w:h="16838" w:orient="portrait"/>
      <w:pgMar w:top="1417" w:right="1417" w:bottom="1417" w:left="1417" w:header="708" w:footer="708" w:gutter="0"/>
      <w:cols w:space="708"/>
      <w:docGrid w:linePitch="360"/>
      <w:headerReference w:type="default" r:id="R88943fe5edc94d6a"/>
      <w:footerReference w:type="default" r:id="R7a01887e231948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20"/>
      <w:gridCol w:w="3020"/>
      <w:gridCol w:w="3020"/>
    </w:tblGrid>
    <w:tr w:rsidR="590B86EB" w:rsidTr="590B86EB" w14:paraId="6BB5A789">
      <w:trPr>
        <w:trHeight w:val="300"/>
      </w:trPr>
      <w:tc>
        <w:tcPr>
          <w:tcW w:w="3020" w:type="dxa"/>
          <w:tcMar/>
        </w:tcPr>
        <w:p w:rsidR="590B86EB" w:rsidP="590B86EB" w:rsidRDefault="590B86EB" w14:paraId="7D970620" w14:textId="19949C20">
          <w:pPr>
            <w:pStyle w:val="Header"/>
            <w:bidi w:val="0"/>
            <w:ind w:left="-115"/>
            <w:jc w:val="left"/>
          </w:pPr>
        </w:p>
      </w:tc>
      <w:tc>
        <w:tcPr>
          <w:tcW w:w="3020" w:type="dxa"/>
          <w:tcMar/>
        </w:tcPr>
        <w:p w:rsidR="590B86EB" w:rsidP="590B86EB" w:rsidRDefault="590B86EB" w14:paraId="52DC20A2" w14:textId="2F16BFCD">
          <w:pPr>
            <w:pStyle w:val="Header"/>
            <w:bidi w:val="0"/>
            <w:jc w:val="center"/>
          </w:pPr>
        </w:p>
      </w:tc>
      <w:tc>
        <w:tcPr>
          <w:tcW w:w="3020" w:type="dxa"/>
          <w:tcMar/>
        </w:tcPr>
        <w:p w:rsidR="590B86EB" w:rsidP="590B86EB" w:rsidRDefault="590B86EB" w14:paraId="666EBA92" w14:textId="0BB508DC">
          <w:pPr>
            <w:pStyle w:val="Header"/>
            <w:bidi w:val="0"/>
            <w:ind w:right="-115"/>
            <w:jc w:val="right"/>
          </w:pPr>
        </w:p>
      </w:tc>
    </w:tr>
  </w:tbl>
  <w:p w:rsidR="590B86EB" w:rsidP="590B86EB" w:rsidRDefault="590B86EB" w14:paraId="2A27F10D" w14:textId="3F197F64">
    <w:pPr>
      <w:pStyle w:val="Footer"/>
      <w:bidi w:val="0"/>
    </w:pPr>
  </w:p>
</w:ftr>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20"/>
      <w:gridCol w:w="3020"/>
      <w:gridCol w:w="3020"/>
    </w:tblGrid>
    <w:tr w:rsidR="590B86EB" w:rsidTr="590B86EB" w14:paraId="65693352">
      <w:trPr>
        <w:trHeight w:val="300"/>
      </w:trPr>
      <w:tc>
        <w:tcPr>
          <w:tcW w:w="3020" w:type="dxa"/>
          <w:tcMar/>
        </w:tcPr>
        <w:p w:rsidR="590B86EB" w:rsidP="590B86EB" w:rsidRDefault="590B86EB" w14:paraId="4B9E14F7" w14:textId="05533358">
          <w:pPr>
            <w:pStyle w:val="Header"/>
            <w:bidi w:val="0"/>
            <w:ind w:left="-115"/>
            <w:jc w:val="left"/>
          </w:pPr>
        </w:p>
      </w:tc>
      <w:tc>
        <w:tcPr>
          <w:tcW w:w="3020" w:type="dxa"/>
          <w:tcMar/>
        </w:tcPr>
        <w:p w:rsidR="590B86EB" w:rsidP="590B86EB" w:rsidRDefault="590B86EB" w14:paraId="651016CB" w14:textId="67AF240F">
          <w:pPr>
            <w:pStyle w:val="Header"/>
            <w:bidi w:val="0"/>
            <w:jc w:val="center"/>
          </w:pPr>
        </w:p>
      </w:tc>
      <w:tc>
        <w:tcPr>
          <w:tcW w:w="3020" w:type="dxa"/>
          <w:tcMar/>
        </w:tcPr>
        <w:p w:rsidR="590B86EB" w:rsidP="590B86EB" w:rsidRDefault="590B86EB" w14:paraId="62E6728F" w14:textId="3D3D173C">
          <w:pPr>
            <w:pStyle w:val="Header"/>
            <w:bidi w:val="0"/>
            <w:ind w:right="-115"/>
            <w:jc w:val="right"/>
          </w:pPr>
        </w:p>
      </w:tc>
    </w:tr>
  </w:tbl>
  <w:p w:rsidR="590B86EB" w:rsidP="590B86EB" w:rsidRDefault="590B86EB" w14:paraId="767D00F2" w14:textId="29C218DC">
    <w:pPr>
      <w:pStyle w:val="Header"/>
      <w:bidi w:val="0"/>
    </w:pPr>
  </w:p>
</w:hdr>
</file>

<file path=word/numbering.xml><?xml version="1.0" encoding="utf-8"?>
<w:numbering xmlns:w="http://schemas.openxmlformats.org/wordprocessingml/2006/main">
  <w:abstractNum xmlns:w="http://schemas.openxmlformats.org/wordprocessingml/2006/main" w:abstractNumId="2">
    <w:nsid w:val="83d6c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083f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BF"/>
    <w:rsid w:val="005554BF"/>
    <w:rsid w:val="008B6FD6"/>
    <w:rsid w:val="02A76CE4"/>
    <w:rsid w:val="067CA583"/>
    <w:rsid w:val="06F9F820"/>
    <w:rsid w:val="0A0178B6"/>
    <w:rsid w:val="0A4C5592"/>
    <w:rsid w:val="0CC22A7D"/>
    <w:rsid w:val="0CE8457B"/>
    <w:rsid w:val="12201E3C"/>
    <w:rsid w:val="13B4C5C3"/>
    <w:rsid w:val="16ABB8A4"/>
    <w:rsid w:val="1A814C37"/>
    <w:rsid w:val="1B94C078"/>
    <w:rsid w:val="1C1827B9"/>
    <w:rsid w:val="1C4916A2"/>
    <w:rsid w:val="22719BED"/>
    <w:rsid w:val="234D28C5"/>
    <w:rsid w:val="235BF15A"/>
    <w:rsid w:val="23C6831B"/>
    <w:rsid w:val="24A5332B"/>
    <w:rsid w:val="24C8E463"/>
    <w:rsid w:val="284D6BE8"/>
    <w:rsid w:val="28F3D178"/>
    <w:rsid w:val="29AC1491"/>
    <w:rsid w:val="29B28C31"/>
    <w:rsid w:val="2CD4C7BC"/>
    <w:rsid w:val="3054F11B"/>
    <w:rsid w:val="319C01D4"/>
    <w:rsid w:val="3838DD22"/>
    <w:rsid w:val="388B60EE"/>
    <w:rsid w:val="3AAAE475"/>
    <w:rsid w:val="3AB88EF6"/>
    <w:rsid w:val="3B85266B"/>
    <w:rsid w:val="45CF6E90"/>
    <w:rsid w:val="49643FFA"/>
    <w:rsid w:val="496AD64B"/>
    <w:rsid w:val="4A0FD3AC"/>
    <w:rsid w:val="4A25841E"/>
    <w:rsid w:val="4BFD866B"/>
    <w:rsid w:val="582A4071"/>
    <w:rsid w:val="590B86EB"/>
    <w:rsid w:val="5E6D4D4B"/>
    <w:rsid w:val="5F9D99E5"/>
    <w:rsid w:val="5FB0E805"/>
    <w:rsid w:val="63232AC9"/>
    <w:rsid w:val="64EBCF12"/>
    <w:rsid w:val="67162DF2"/>
    <w:rsid w:val="6888A16E"/>
    <w:rsid w:val="69B37500"/>
    <w:rsid w:val="6B384435"/>
    <w:rsid w:val="6BA41BD9"/>
    <w:rsid w:val="6F6DC7BC"/>
    <w:rsid w:val="70CE287B"/>
    <w:rsid w:val="7B0E1F1D"/>
    <w:rsid w:val="7DFEA5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6CB7E277"/>
  <w15:chartTrackingRefBased/>
  <w15:docId w15:val="{CA1A37CD-6131-C943-BCA6-B12A89ED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554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54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54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54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54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54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54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54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54BF"/>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554BF"/>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5554BF"/>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5554BF"/>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5554BF"/>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5554BF"/>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5554BF"/>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5554BF"/>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5554BF"/>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5554BF"/>
    <w:rPr>
      <w:rFonts w:eastAsiaTheme="majorEastAsia" w:cstheme="majorBidi"/>
      <w:color w:val="272727" w:themeColor="text1" w:themeTint="D8"/>
    </w:rPr>
  </w:style>
  <w:style w:type="paragraph" w:styleId="Titre">
    <w:name w:val="Title"/>
    <w:basedOn w:val="Normal"/>
    <w:next w:val="Normal"/>
    <w:link w:val="TitreCar"/>
    <w:uiPriority w:val="10"/>
    <w:qFormat/>
    <w:rsid w:val="005554BF"/>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5554BF"/>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5554BF"/>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5554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54BF"/>
    <w:pPr>
      <w:spacing w:before="160"/>
      <w:jc w:val="center"/>
    </w:pPr>
    <w:rPr>
      <w:i/>
      <w:iCs/>
      <w:color w:val="404040" w:themeColor="text1" w:themeTint="BF"/>
    </w:rPr>
  </w:style>
  <w:style w:type="character" w:styleId="CitationCar" w:customStyle="1">
    <w:name w:val="Citation Car"/>
    <w:basedOn w:val="Policepardfaut"/>
    <w:link w:val="Citation"/>
    <w:uiPriority w:val="29"/>
    <w:rsid w:val="005554BF"/>
    <w:rPr>
      <w:i/>
      <w:iCs/>
      <w:color w:val="404040" w:themeColor="text1" w:themeTint="BF"/>
    </w:rPr>
  </w:style>
  <w:style w:type="paragraph" w:styleId="Paragraphedeliste">
    <w:name w:val="List Paragraph"/>
    <w:basedOn w:val="Normal"/>
    <w:uiPriority w:val="34"/>
    <w:qFormat/>
    <w:rsid w:val="005554BF"/>
    <w:pPr>
      <w:ind w:left="720"/>
      <w:contextualSpacing/>
    </w:pPr>
  </w:style>
  <w:style w:type="character" w:styleId="Accentuationintense">
    <w:name w:val="Intense Emphasis"/>
    <w:basedOn w:val="Policepardfaut"/>
    <w:uiPriority w:val="21"/>
    <w:qFormat/>
    <w:rsid w:val="005554BF"/>
    <w:rPr>
      <w:i/>
      <w:iCs/>
      <w:color w:val="0F4761" w:themeColor="accent1" w:themeShade="BF"/>
    </w:rPr>
  </w:style>
  <w:style w:type="paragraph" w:styleId="Citationintense">
    <w:name w:val="Intense Quote"/>
    <w:basedOn w:val="Normal"/>
    <w:next w:val="Normal"/>
    <w:link w:val="CitationintenseCar"/>
    <w:uiPriority w:val="30"/>
    <w:qFormat/>
    <w:rsid w:val="005554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5554BF"/>
    <w:rPr>
      <w:i/>
      <w:iCs/>
      <w:color w:val="0F4761" w:themeColor="accent1" w:themeShade="BF"/>
    </w:rPr>
  </w:style>
  <w:style w:type="character" w:styleId="Rfrenceintense">
    <w:name w:val="Intense Reference"/>
    <w:basedOn w:val="Policepardfaut"/>
    <w:uiPriority w:val="32"/>
    <w:qFormat/>
    <w:rsid w:val="005554BF"/>
    <w:rPr>
      <w:b/>
      <w:bCs/>
      <w:smallCaps/>
      <w:color w:val="0F4761" w:themeColor="accent1" w:themeShade="BF"/>
      <w:spacing w:val="5"/>
    </w:rPr>
  </w:style>
  <w:style w:type="paragraph" w:styleId="Header">
    <w:uiPriority w:val="99"/>
    <w:name w:val="header"/>
    <w:basedOn w:val="Normal"/>
    <w:unhideWhenUsed/>
    <w:rsid w:val="590B86EB"/>
    <w:pPr>
      <w:tabs>
        <w:tab w:val="center" w:leader="none" w:pos="4680"/>
        <w:tab w:val="right" w:leader="none" w:pos="9360"/>
      </w:tabs>
      <w:spacing w:after="0" w:line="240" w:lineRule="auto"/>
    </w:pPr>
  </w:style>
  <w:style w:type="paragraph" w:styleId="Footer">
    <w:uiPriority w:val="99"/>
    <w:name w:val="footer"/>
    <w:basedOn w:val="Normal"/>
    <w:unhideWhenUsed/>
    <w:rsid w:val="590B86E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8943fe5edc94d6a" /><Relationship Type="http://schemas.openxmlformats.org/officeDocument/2006/relationships/footer" Target="footer.xml" Id="R7a01887e23194878" /><Relationship Type="http://schemas.openxmlformats.org/officeDocument/2006/relationships/numbering" Target="numbering.xml" Id="R30e3a9b1add54d8b"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 SILVA Joel</dc:creator>
  <keywords/>
  <dc:description/>
  <lastModifiedBy>RENATO SANTOS ALVES</lastModifiedBy>
  <revision>5</revision>
  <dcterms:created xsi:type="dcterms:W3CDTF">2025-10-22T13:17:00.0000000Z</dcterms:created>
  <dcterms:modified xsi:type="dcterms:W3CDTF">2025-10-29T13:55:48.9100878Z</dcterms:modified>
</coreProperties>
</file>